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67411" w14:textId="77777777" w:rsidR="00891214" w:rsidRPr="00891214" w:rsidRDefault="000938A3" w:rsidP="000C4E9F">
      <w:pPr>
        <w:spacing w:after="0" w:line="360" w:lineRule="auto"/>
        <w:jc w:val="both"/>
        <w:rPr>
          <w:rFonts w:ascii="Arial" w:hAnsi="Arial"/>
          <w:sz w:val="34"/>
          <w:szCs w:val="34"/>
        </w:rPr>
      </w:pPr>
      <w:r w:rsidRPr="00891214">
        <w:rPr>
          <w:rFonts w:ascii="Arial" w:hAnsi="Arial"/>
          <w:sz w:val="34"/>
          <w:szCs w:val="34"/>
        </w:rPr>
        <w:t xml:space="preserve">Pöttinger: FLEXCARE with </w:t>
      </w:r>
      <w:proofErr w:type="spellStart"/>
      <w:r w:rsidRPr="00891214">
        <w:rPr>
          <w:rFonts w:ascii="Arial" w:hAnsi="Arial"/>
          <w:sz w:val="34"/>
          <w:szCs w:val="34"/>
        </w:rPr>
        <w:t>Profiline</w:t>
      </w:r>
      <w:proofErr w:type="spellEnd"/>
      <w:r w:rsidRPr="00891214">
        <w:rPr>
          <w:rFonts w:ascii="Arial" w:hAnsi="Arial"/>
          <w:sz w:val="34"/>
          <w:szCs w:val="34"/>
        </w:rPr>
        <w:t xml:space="preserve"> comfort control system</w:t>
      </w:r>
    </w:p>
    <w:p w14:paraId="3712D695" w14:textId="33106243" w:rsidR="00BC6E38" w:rsidRPr="00771BE0" w:rsidRDefault="00275935" w:rsidP="000C4E9F">
      <w:pPr>
        <w:spacing w:after="0" w:line="360" w:lineRule="auto"/>
        <w:jc w:val="both"/>
        <w:rPr>
          <w:rFonts w:ascii="Arial" w:hAnsi="Arial" w:cs="Arial"/>
          <w:sz w:val="36"/>
          <w:szCs w:val="36"/>
        </w:rPr>
      </w:pPr>
      <w:r>
        <w:rPr>
          <w:rFonts w:ascii="Arial" w:hAnsi="Arial"/>
          <w:sz w:val="36"/>
        </w:rPr>
        <w:t>Flexibility meets precision</w:t>
      </w:r>
    </w:p>
    <w:p w14:paraId="24AC85A9" w14:textId="77777777" w:rsidR="00275935" w:rsidRDefault="00275935" w:rsidP="000C4E9F">
      <w:pPr>
        <w:spacing w:after="0" w:line="360" w:lineRule="auto"/>
        <w:jc w:val="both"/>
        <w:rPr>
          <w:rFonts w:ascii="Arial" w:hAnsi="Arial" w:cs="Arial"/>
          <w:sz w:val="24"/>
          <w:szCs w:val="24"/>
        </w:rPr>
      </w:pPr>
    </w:p>
    <w:p w14:paraId="7EEB943C" w14:textId="4F45417A" w:rsidR="0086132C" w:rsidRDefault="00D9002B" w:rsidP="000C4E9F">
      <w:pPr>
        <w:spacing w:after="0" w:line="360" w:lineRule="auto"/>
        <w:jc w:val="both"/>
        <w:rPr>
          <w:rFonts w:ascii="Arial" w:hAnsi="Arial" w:cs="Arial"/>
          <w:sz w:val="24"/>
          <w:szCs w:val="24"/>
        </w:rPr>
      </w:pPr>
      <w:r>
        <w:rPr>
          <w:rFonts w:ascii="Arial" w:hAnsi="Arial"/>
          <w:sz w:val="24"/>
        </w:rPr>
        <w:t>As a specialist in arable farming machinery, Pöttinger is always up to speed with optimising production methods in agriculture. The mechanical crop care range includes the FLEXCARE row crop cultivator that offers full flexibility working in a variety of crops. FLEXCARE can now be equipped with the Profiline comfort control system as an option. The Profiline comfort control system is available on all machines with up to 16 rows.</w:t>
      </w:r>
    </w:p>
    <w:p w14:paraId="41C14CAD" w14:textId="77777777" w:rsidR="00683216" w:rsidRDefault="00683216" w:rsidP="000C4E9F">
      <w:pPr>
        <w:spacing w:after="0" w:line="360" w:lineRule="auto"/>
        <w:jc w:val="both"/>
        <w:rPr>
          <w:rFonts w:ascii="Arial" w:eastAsia="Times New Roman" w:hAnsi="Arial" w:cs="Arial"/>
          <w:b/>
          <w:color w:val="000000" w:themeColor="text1"/>
          <w:sz w:val="24"/>
          <w:szCs w:val="24"/>
          <w:lang w:eastAsia="de-DE"/>
        </w:rPr>
      </w:pPr>
    </w:p>
    <w:p w14:paraId="415FAFA5" w14:textId="3069A748" w:rsidR="00683216" w:rsidRDefault="00F94121" w:rsidP="5660F372">
      <w:pPr>
        <w:spacing w:after="0" w:line="360" w:lineRule="auto"/>
        <w:jc w:val="both"/>
        <w:rPr>
          <w:rFonts w:ascii="Arial" w:eastAsia="Times New Roman" w:hAnsi="Arial" w:cs="Arial"/>
          <w:b/>
          <w:bCs/>
          <w:color w:val="000000" w:themeColor="text1"/>
          <w:sz w:val="24"/>
          <w:szCs w:val="24"/>
        </w:rPr>
      </w:pPr>
      <w:r>
        <w:rPr>
          <w:rFonts w:ascii="Arial" w:hAnsi="Arial"/>
          <w:b/>
          <w:color w:val="000000" w:themeColor="text1"/>
          <w:sz w:val="24"/>
        </w:rPr>
        <w:t>Profiline comfort control system for precision operation</w:t>
      </w:r>
    </w:p>
    <w:p w14:paraId="186C42CB" w14:textId="3A4F3AC3" w:rsidR="00D16B9C" w:rsidRDefault="00E71F57" w:rsidP="000C4E9F">
      <w:pPr>
        <w:spacing w:after="0" w:line="360" w:lineRule="auto"/>
        <w:jc w:val="both"/>
        <w:rPr>
          <w:rFonts w:ascii="Arial" w:hAnsi="Arial" w:cs="Arial"/>
          <w:sz w:val="24"/>
          <w:szCs w:val="24"/>
        </w:rPr>
      </w:pPr>
      <w:r>
        <w:rPr>
          <w:rFonts w:ascii="Arial" w:hAnsi="Arial"/>
          <w:sz w:val="24"/>
        </w:rPr>
        <w:t xml:space="preserve">With the Profiline comfort control system machines can be operated directly either using an ISOBUS tractor terminal or other compatible control terminals. Each function is carried out immediately by pressing a button or the touchscreen. </w:t>
      </w:r>
    </w:p>
    <w:p w14:paraId="40AB6357" w14:textId="3543C125" w:rsidR="6C2939EB" w:rsidRDefault="00CF5EFC" w:rsidP="6C2939EB">
      <w:pPr>
        <w:spacing w:after="0" w:line="360" w:lineRule="auto"/>
        <w:jc w:val="both"/>
        <w:rPr>
          <w:rFonts w:ascii="Arial" w:hAnsi="Arial" w:cs="Arial"/>
          <w:sz w:val="24"/>
          <w:szCs w:val="24"/>
        </w:rPr>
      </w:pPr>
      <w:r>
        <w:rPr>
          <w:rFonts w:ascii="Arial" w:hAnsi="Arial"/>
          <w:sz w:val="24"/>
        </w:rPr>
        <w:t xml:space="preserve">The hydraulic oil supply is regulated by a load sensing system. This means that only the power that is actually needed is requested from the tractor hydraulics. This saves energy and increases the productivity of the tractor. </w:t>
      </w:r>
    </w:p>
    <w:p w14:paraId="637E5925" w14:textId="77777777" w:rsidR="0011312A" w:rsidRDefault="0011312A" w:rsidP="000C4E9F">
      <w:pPr>
        <w:spacing w:after="0" w:line="360" w:lineRule="auto"/>
        <w:jc w:val="both"/>
        <w:rPr>
          <w:rFonts w:ascii="Arial" w:eastAsia="Times New Roman" w:hAnsi="Arial" w:cs="Arial"/>
          <w:b/>
          <w:color w:val="000000" w:themeColor="text1"/>
          <w:sz w:val="24"/>
          <w:szCs w:val="24"/>
          <w:lang w:eastAsia="de-DE"/>
        </w:rPr>
      </w:pPr>
    </w:p>
    <w:p w14:paraId="5CBC5E33" w14:textId="2FE2FF51" w:rsidR="0011312A" w:rsidRPr="000C4E9F" w:rsidRDefault="002F689C" w:rsidP="5660F372">
      <w:pPr>
        <w:spacing w:after="0" w:line="360" w:lineRule="auto"/>
        <w:jc w:val="both"/>
        <w:rPr>
          <w:rFonts w:ascii="Arial" w:eastAsia="Times New Roman" w:hAnsi="Arial" w:cs="Arial"/>
          <w:b/>
          <w:bCs/>
          <w:color w:val="000000" w:themeColor="text1"/>
          <w:sz w:val="24"/>
          <w:szCs w:val="24"/>
        </w:rPr>
      </w:pPr>
      <w:r>
        <w:rPr>
          <w:rFonts w:ascii="Arial" w:hAnsi="Arial"/>
          <w:b/>
          <w:color w:val="000000" w:themeColor="text1"/>
          <w:sz w:val="24"/>
        </w:rPr>
        <w:t>Maximum convenience</w:t>
      </w:r>
    </w:p>
    <w:p w14:paraId="3C3B0187" w14:textId="29391AE9" w:rsidR="00D16B9C" w:rsidRPr="00E47134" w:rsidRDefault="0011312A" w:rsidP="00E47134">
      <w:pPr>
        <w:pStyle w:val="CP"/>
        <w:spacing w:line="360" w:lineRule="auto"/>
        <w:jc w:val="both"/>
        <w:rPr>
          <w:rFonts w:ascii="Arial" w:hAnsi="Arial" w:cs="Arial"/>
          <w:color w:val="auto"/>
          <w:spacing w:val="0"/>
          <w:sz w:val="24"/>
          <w:szCs w:val="24"/>
        </w:rPr>
      </w:pPr>
      <w:r>
        <w:rPr>
          <w:rFonts w:ascii="Arial" w:hAnsi="Arial"/>
          <w:sz w:val="24"/>
        </w:rPr>
        <w:t>Each hoe element has a double-acting hydraulic cylinder so the hoe can be raised by tapping on the display, or controlled automatically by GPS signals at the headland and in field corners.</w:t>
      </w:r>
      <w:r>
        <w:rPr>
          <w:rFonts w:ascii="Arial" w:hAnsi="Arial"/>
          <w:color w:val="auto"/>
          <w:sz w:val="24"/>
        </w:rPr>
        <w:t xml:space="preserve"> This means less fatigue for the driver, who can focus on the working results of the row crop cultivator.</w:t>
      </w:r>
    </w:p>
    <w:p w14:paraId="78906F1E" w14:textId="77777777" w:rsidR="0011312A" w:rsidRDefault="0011312A" w:rsidP="000C4E9F">
      <w:pPr>
        <w:spacing w:after="0" w:line="360" w:lineRule="auto"/>
        <w:jc w:val="both"/>
        <w:rPr>
          <w:rFonts w:ascii="Arial" w:eastAsia="Times New Roman" w:hAnsi="Arial" w:cs="Arial"/>
          <w:b/>
          <w:color w:val="000000" w:themeColor="text1"/>
          <w:sz w:val="24"/>
          <w:szCs w:val="24"/>
          <w:lang w:eastAsia="de-DE"/>
        </w:rPr>
      </w:pPr>
    </w:p>
    <w:p w14:paraId="0C41879D" w14:textId="3B0225D0" w:rsidR="00FB2306" w:rsidRPr="000C4E9F" w:rsidRDefault="006D23D6" w:rsidP="5660F372">
      <w:pPr>
        <w:spacing w:after="0" w:line="360" w:lineRule="auto"/>
        <w:jc w:val="both"/>
        <w:rPr>
          <w:rFonts w:ascii="Arial" w:eastAsia="Times New Roman" w:hAnsi="Arial" w:cs="Arial"/>
          <w:b/>
          <w:bCs/>
          <w:color w:val="000000" w:themeColor="text1"/>
          <w:sz w:val="24"/>
          <w:szCs w:val="24"/>
        </w:rPr>
      </w:pPr>
      <w:r>
        <w:rPr>
          <w:rFonts w:ascii="Arial" w:hAnsi="Arial"/>
          <w:b/>
          <w:color w:val="000000" w:themeColor="text1"/>
          <w:sz w:val="24"/>
        </w:rPr>
        <w:t xml:space="preserve">Profiline comfort control system with Section Control </w:t>
      </w:r>
    </w:p>
    <w:p w14:paraId="43654B3E" w14:textId="3676293C" w:rsidR="00432C24" w:rsidRPr="00D85EBD" w:rsidRDefault="3CADAA09" w:rsidP="6C2939EB">
      <w:pPr>
        <w:pStyle w:val="CP"/>
        <w:spacing w:line="360" w:lineRule="auto"/>
        <w:jc w:val="both"/>
        <w:rPr>
          <w:rFonts w:ascii="Arial" w:hAnsi="Arial" w:cs="Arial"/>
          <w:color w:val="000000" w:themeColor="text1"/>
          <w:sz w:val="24"/>
          <w:szCs w:val="24"/>
        </w:rPr>
      </w:pPr>
      <w:r>
        <w:rPr>
          <w:rFonts w:ascii="Arial" w:hAnsi="Arial"/>
          <w:color w:val="000000" w:themeColor="text1"/>
          <w:sz w:val="24"/>
        </w:rPr>
        <w:t>The optional Profiline comfort control system on the FLEXCARE can lift all the hoes at the same time at the end of the field, and allows each hoe element to be controlled individually if the field tapers into a corner. The weeding tools are raised and lowered with pinpoint accuracy using ISOBUS. This happens automatically when crossing the crop lanes. Ultimately, this system protects the crop, especially in wedge-shaped corners, overlaps and along field boundaries.</w:t>
      </w:r>
    </w:p>
    <w:p w14:paraId="3F71F5DE" w14:textId="77777777" w:rsidR="0011312A" w:rsidRPr="000C4E9F" w:rsidRDefault="0011312A" w:rsidP="000C4E9F">
      <w:pPr>
        <w:tabs>
          <w:tab w:val="left" w:pos="170"/>
          <w:tab w:val="right" w:pos="3969"/>
        </w:tabs>
        <w:suppressAutoHyphens/>
        <w:autoSpaceDE w:val="0"/>
        <w:autoSpaceDN w:val="0"/>
        <w:adjustRightInd w:val="0"/>
        <w:spacing w:after="0" w:line="360" w:lineRule="auto"/>
        <w:jc w:val="both"/>
        <w:textAlignment w:val="center"/>
        <w:rPr>
          <w:rFonts w:ascii="Arial" w:hAnsi="Arial" w:cs="Arial"/>
          <w:sz w:val="24"/>
          <w:szCs w:val="24"/>
        </w:rPr>
      </w:pPr>
    </w:p>
    <w:p w14:paraId="2FB3379B" w14:textId="41925648" w:rsidR="007F40D7" w:rsidRDefault="007F40D7" w:rsidP="007F40D7">
      <w:pPr>
        <w:spacing w:line="360" w:lineRule="auto"/>
        <w:jc w:val="both"/>
        <w:rPr>
          <w:rFonts w:ascii="Arial" w:hAnsi="Arial"/>
          <w:b/>
          <w:sz w:val="24"/>
        </w:rPr>
      </w:pPr>
      <w:r>
        <w:rPr>
          <w:rFonts w:ascii="Arial" w:hAnsi="Arial"/>
          <w:b/>
          <w:sz w:val="24"/>
        </w:rPr>
        <w:t>Photo preview:</w:t>
      </w:r>
    </w:p>
    <w:tbl>
      <w:tblPr>
        <w:tblStyle w:val="Tabellenraster"/>
        <w:tblW w:w="0" w:type="auto"/>
        <w:tblLook w:val="04A0" w:firstRow="1" w:lastRow="0" w:firstColumn="1" w:lastColumn="0" w:noHBand="0" w:noVBand="1"/>
      </w:tblPr>
      <w:tblGrid>
        <w:gridCol w:w="3040"/>
        <w:gridCol w:w="3040"/>
        <w:gridCol w:w="2982"/>
      </w:tblGrid>
      <w:tr w:rsidR="00C30AC6" w14:paraId="30BB4ECA" w14:textId="77777777" w:rsidTr="00C30AC6">
        <w:tc>
          <w:tcPr>
            <w:tcW w:w="4420" w:type="dxa"/>
          </w:tcPr>
          <w:p w14:paraId="46657275" w14:textId="0A7DF0D4" w:rsidR="00C30AC6" w:rsidRDefault="00C30AC6" w:rsidP="007F40D7">
            <w:pPr>
              <w:spacing w:line="360" w:lineRule="auto"/>
              <w:jc w:val="both"/>
              <w:rPr>
                <w:rFonts w:ascii="Arial" w:hAnsi="Arial" w:cs="Arial"/>
                <w:b/>
                <w:bCs/>
                <w:sz w:val="24"/>
                <w:szCs w:val="24"/>
              </w:rPr>
            </w:pPr>
            <w:r>
              <w:rPr>
                <w:rFonts w:ascii="Arial" w:hAnsi="Arial"/>
                <w:b/>
                <w:noProof/>
                <w:sz w:val="24"/>
              </w:rPr>
              <w:drawing>
                <wp:anchor distT="0" distB="0" distL="114300" distR="114300" simplePos="0" relativeHeight="251658241" behindDoc="0" locked="0" layoutInCell="1" allowOverlap="1" wp14:anchorId="5C6327BE" wp14:editId="0F00BBB1">
                  <wp:simplePos x="0" y="0"/>
                  <wp:positionH relativeFrom="column">
                    <wp:posOffset>147615</wp:posOffset>
                  </wp:positionH>
                  <wp:positionV relativeFrom="paragraph">
                    <wp:posOffset>148118</wp:posOffset>
                  </wp:positionV>
                  <wp:extent cx="1552792" cy="1028844"/>
                  <wp:effectExtent l="0" t="0" r="9525" b="0"/>
                  <wp:wrapNone/>
                  <wp:docPr id="10798171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817172" name=""/>
                          <pic:cNvPicPr/>
                        </pic:nvPicPr>
                        <pic:blipFill>
                          <a:blip r:embed="rId10">
                            <a:extLst>
                              <a:ext uri="{28A0092B-C50C-407E-A947-70E740481C1C}">
                                <a14:useLocalDpi xmlns:a14="http://schemas.microsoft.com/office/drawing/2010/main" val="0"/>
                              </a:ext>
                            </a:extLst>
                          </a:blip>
                          <a:stretch>
                            <a:fillRect/>
                          </a:stretch>
                        </pic:blipFill>
                        <pic:spPr>
                          <a:xfrm>
                            <a:off x="0" y="0"/>
                            <a:ext cx="1552792" cy="1028844"/>
                          </a:xfrm>
                          <a:prstGeom prst="rect">
                            <a:avLst/>
                          </a:prstGeom>
                        </pic:spPr>
                      </pic:pic>
                    </a:graphicData>
                  </a:graphic>
                </wp:anchor>
              </w:drawing>
            </w:r>
          </w:p>
          <w:p w14:paraId="33267F1F" w14:textId="561E7781" w:rsidR="00C30AC6" w:rsidRDefault="00C30AC6" w:rsidP="007F40D7">
            <w:pPr>
              <w:spacing w:line="360" w:lineRule="auto"/>
              <w:jc w:val="both"/>
              <w:rPr>
                <w:rFonts w:ascii="Arial" w:hAnsi="Arial" w:cs="Arial"/>
                <w:b/>
                <w:bCs/>
                <w:sz w:val="24"/>
                <w:szCs w:val="24"/>
              </w:rPr>
            </w:pPr>
          </w:p>
          <w:p w14:paraId="5D2BE92C" w14:textId="6844BC38" w:rsidR="00C30AC6" w:rsidRDefault="00C30AC6" w:rsidP="007F40D7">
            <w:pPr>
              <w:spacing w:line="360" w:lineRule="auto"/>
              <w:jc w:val="both"/>
              <w:rPr>
                <w:rFonts w:ascii="Arial" w:hAnsi="Arial" w:cs="Arial"/>
                <w:b/>
                <w:bCs/>
                <w:sz w:val="24"/>
                <w:szCs w:val="24"/>
              </w:rPr>
            </w:pPr>
          </w:p>
          <w:p w14:paraId="3D537065" w14:textId="77777777" w:rsidR="00C30AC6" w:rsidRDefault="00C30AC6" w:rsidP="007F40D7">
            <w:pPr>
              <w:spacing w:line="360" w:lineRule="auto"/>
              <w:jc w:val="both"/>
              <w:rPr>
                <w:rFonts w:ascii="Arial" w:hAnsi="Arial" w:cs="Arial"/>
                <w:b/>
                <w:bCs/>
                <w:sz w:val="24"/>
                <w:szCs w:val="24"/>
              </w:rPr>
            </w:pPr>
          </w:p>
          <w:p w14:paraId="0247D71E" w14:textId="77777777" w:rsidR="00C30AC6" w:rsidRDefault="00C30AC6" w:rsidP="007F40D7">
            <w:pPr>
              <w:spacing w:line="360" w:lineRule="auto"/>
              <w:jc w:val="both"/>
              <w:rPr>
                <w:rFonts w:ascii="Arial" w:hAnsi="Arial" w:cs="Arial"/>
                <w:b/>
                <w:bCs/>
                <w:sz w:val="24"/>
                <w:szCs w:val="24"/>
              </w:rPr>
            </w:pPr>
          </w:p>
        </w:tc>
        <w:tc>
          <w:tcPr>
            <w:tcW w:w="2805" w:type="dxa"/>
          </w:tcPr>
          <w:p w14:paraId="191439D2" w14:textId="4F0E9B8E" w:rsidR="00C30AC6" w:rsidRDefault="00C30AC6" w:rsidP="007F40D7">
            <w:pPr>
              <w:spacing w:line="360" w:lineRule="auto"/>
              <w:jc w:val="both"/>
              <w:rPr>
                <w:rFonts w:ascii="Arial" w:hAnsi="Arial" w:cs="Arial"/>
                <w:b/>
                <w:bCs/>
                <w:sz w:val="24"/>
                <w:szCs w:val="24"/>
              </w:rPr>
            </w:pPr>
            <w:r>
              <w:rPr>
                <w:noProof/>
              </w:rPr>
              <w:drawing>
                <wp:anchor distT="0" distB="0" distL="114300" distR="114300" simplePos="0" relativeHeight="251658240" behindDoc="0" locked="0" layoutInCell="1" allowOverlap="1" wp14:anchorId="0F014AA8" wp14:editId="63E4355A">
                  <wp:simplePos x="0" y="0"/>
                  <wp:positionH relativeFrom="column">
                    <wp:posOffset>114329</wp:posOffset>
                  </wp:positionH>
                  <wp:positionV relativeFrom="paragraph">
                    <wp:posOffset>145257</wp:posOffset>
                  </wp:positionV>
                  <wp:extent cx="1535377" cy="1025718"/>
                  <wp:effectExtent l="0" t="0" r="8255" b="3175"/>
                  <wp:wrapNone/>
                  <wp:docPr id="14715797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5377" cy="1025718"/>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7" w:type="dxa"/>
          </w:tcPr>
          <w:p w14:paraId="37FAEF4E" w14:textId="42D32F02" w:rsidR="00C30AC6" w:rsidRDefault="00C30AC6" w:rsidP="007F40D7">
            <w:pPr>
              <w:spacing w:line="360" w:lineRule="auto"/>
              <w:jc w:val="both"/>
              <w:rPr>
                <w:rFonts w:ascii="Arial" w:hAnsi="Arial" w:cs="Arial"/>
                <w:b/>
                <w:bCs/>
                <w:sz w:val="24"/>
                <w:szCs w:val="24"/>
              </w:rPr>
            </w:pPr>
            <w:r>
              <w:rPr>
                <w:noProof/>
              </w:rPr>
              <w:drawing>
                <wp:anchor distT="0" distB="0" distL="114300" distR="114300" simplePos="0" relativeHeight="251659265" behindDoc="0" locked="0" layoutInCell="1" allowOverlap="1" wp14:anchorId="767699A3" wp14:editId="50649799">
                  <wp:simplePos x="0" y="0"/>
                  <wp:positionH relativeFrom="column">
                    <wp:posOffset>72159</wp:posOffset>
                  </wp:positionH>
                  <wp:positionV relativeFrom="paragraph">
                    <wp:posOffset>168283</wp:posOffset>
                  </wp:positionV>
                  <wp:extent cx="1541676" cy="1001775"/>
                  <wp:effectExtent l="0" t="0" r="1905" b="8255"/>
                  <wp:wrapNone/>
                  <wp:docPr id="213727241" name="Grafik 1" descr="Ein Bild, das Reifen, Gelände, Fahrzeug, 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27241" name="Grafik 1" descr="Ein Bild, das Reifen, Gelände, Fahrzeug, Rad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8633" cy="1006296"/>
                          </a:xfrm>
                          <a:prstGeom prst="rect">
                            <a:avLst/>
                          </a:prstGeom>
                          <a:noFill/>
                          <a:ln>
                            <a:noFill/>
                          </a:ln>
                        </pic:spPr>
                      </pic:pic>
                    </a:graphicData>
                  </a:graphic>
                  <wp14:sizeRelV relativeFrom="margin">
                    <wp14:pctHeight>0</wp14:pctHeight>
                  </wp14:sizeRelV>
                </wp:anchor>
              </w:drawing>
            </w:r>
          </w:p>
        </w:tc>
      </w:tr>
      <w:tr w:rsidR="00C30AC6" w14:paraId="4746F497" w14:textId="77777777" w:rsidTr="00C30AC6">
        <w:tc>
          <w:tcPr>
            <w:tcW w:w="4420" w:type="dxa"/>
          </w:tcPr>
          <w:p w14:paraId="45EE6CB1" w14:textId="5280AC07" w:rsidR="00C30AC6" w:rsidRDefault="00C30AC6" w:rsidP="00C30AC6">
            <w:pPr>
              <w:jc w:val="center"/>
              <w:rPr>
                <w:rFonts w:ascii="Arial" w:hAnsi="Arial"/>
                <w:color w:val="FF00FF"/>
                <w:sz w:val="22"/>
                <w:szCs w:val="22"/>
              </w:rPr>
            </w:pPr>
            <w:r>
              <w:rPr>
                <w:rFonts w:ascii="Arial" w:hAnsi="Arial"/>
                <w:sz w:val="22"/>
              </w:rPr>
              <w:t>FLEXCARE V 6200</w:t>
            </w:r>
          </w:p>
          <w:p w14:paraId="1CCA71DA" w14:textId="66CC9E76" w:rsidR="00C30AC6" w:rsidRDefault="00C30AC6" w:rsidP="00C30AC6">
            <w:pPr>
              <w:jc w:val="center"/>
              <w:rPr>
                <w:rFonts w:ascii="Arial" w:hAnsi="Arial" w:cs="Arial"/>
                <w:b/>
                <w:bCs/>
                <w:sz w:val="24"/>
                <w:szCs w:val="24"/>
              </w:rPr>
            </w:pPr>
            <w:r>
              <w:rPr>
                <w:rFonts w:ascii="Arial" w:hAnsi="Arial"/>
                <w:sz w:val="22"/>
              </w:rPr>
              <w:t>with precision control</w:t>
            </w:r>
          </w:p>
        </w:tc>
        <w:tc>
          <w:tcPr>
            <w:tcW w:w="2805" w:type="dxa"/>
          </w:tcPr>
          <w:p w14:paraId="2AE88C4B" w14:textId="2D546887" w:rsidR="00C30AC6" w:rsidRDefault="00C30AC6" w:rsidP="00C30AC6">
            <w:pPr>
              <w:jc w:val="center"/>
              <w:rPr>
                <w:rFonts w:ascii="Arial" w:hAnsi="Arial" w:cs="Arial"/>
                <w:sz w:val="22"/>
                <w:szCs w:val="22"/>
              </w:rPr>
            </w:pPr>
            <w:r>
              <w:rPr>
                <w:rFonts w:ascii="Arial" w:hAnsi="Arial"/>
                <w:sz w:val="22"/>
              </w:rPr>
              <w:t>FLEXCARE V 6200</w:t>
            </w:r>
          </w:p>
          <w:p w14:paraId="1D7E8333" w14:textId="365ADCC2" w:rsidR="00C30AC6" w:rsidRDefault="00C30AC6" w:rsidP="00C30AC6">
            <w:pPr>
              <w:jc w:val="center"/>
              <w:rPr>
                <w:rFonts w:ascii="Arial" w:hAnsi="Arial" w:cs="Arial"/>
                <w:b/>
                <w:bCs/>
                <w:sz w:val="24"/>
                <w:szCs w:val="24"/>
              </w:rPr>
            </w:pPr>
            <w:r>
              <w:rPr>
                <w:rFonts w:ascii="Arial" w:hAnsi="Arial"/>
                <w:sz w:val="22"/>
              </w:rPr>
              <w:t>does a great job in wedge-shaped fields</w:t>
            </w:r>
          </w:p>
        </w:tc>
        <w:tc>
          <w:tcPr>
            <w:tcW w:w="1837" w:type="dxa"/>
          </w:tcPr>
          <w:p w14:paraId="48C4BB9D" w14:textId="77777777" w:rsidR="00C30AC6" w:rsidRPr="0012618C" w:rsidRDefault="00C30AC6" w:rsidP="00C30AC6">
            <w:pPr>
              <w:widowControl w:val="0"/>
              <w:autoSpaceDE w:val="0"/>
              <w:autoSpaceDN w:val="0"/>
              <w:adjustRightInd w:val="0"/>
              <w:jc w:val="center"/>
              <w:rPr>
                <w:rFonts w:ascii="Arial" w:hAnsi="Arial" w:cs="Arial"/>
                <w:snapToGrid w:val="0"/>
                <w:color w:val="000000"/>
                <w:sz w:val="22"/>
                <w:szCs w:val="22"/>
              </w:rPr>
            </w:pPr>
            <w:r>
              <w:rPr>
                <w:rFonts w:ascii="Arial" w:hAnsi="Arial"/>
                <w:snapToGrid w:val="0"/>
                <w:color w:val="000000"/>
                <w:sz w:val="22"/>
              </w:rPr>
              <w:t>FLEXCARE V 6200 equipped for flexible operation</w:t>
            </w:r>
          </w:p>
          <w:p w14:paraId="197C0E8D" w14:textId="04EA7D7A" w:rsidR="00C30AC6" w:rsidRDefault="00C30AC6" w:rsidP="00C30AC6">
            <w:pPr>
              <w:rPr>
                <w:rFonts w:ascii="Arial" w:hAnsi="Arial" w:cs="Arial"/>
                <w:b/>
                <w:bCs/>
                <w:sz w:val="24"/>
                <w:szCs w:val="24"/>
              </w:rPr>
            </w:pPr>
          </w:p>
        </w:tc>
      </w:tr>
      <w:tr w:rsidR="00C30AC6" w14:paraId="3C76FC8B" w14:textId="77777777" w:rsidTr="00C30AC6">
        <w:tc>
          <w:tcPr>
            <w:tcW w:w="4420" w:type="dxa"/>
          </w:tcPr>
          <w:p w14:paraId="01FD4642" w14:textId="77777777" w:rsidR="00C30AC6" w:rsidRPr="00052AF2" w:rsidRDefault="00C30AC6" w:rsidP="00C30AC6">
            <w:pPr>
              <w:jc w:val="center"/>
              <w:rPr>
                <w:rFonts w:ascii="Arial" w:hAnsi="Arial" w:cs="Arial"/>
              </w:rPr>
            </w:pPr>
            <w:hyperlink r:id="rId13" w:history="1">
              <w:r>
                <w:rPr>
                  <w:rStyle w:val="Hyperlink"/>
                  <w:rFonts w:ascii="Arial" w:hAnsi="Arial"/>
                </w:rPr>
                <w:t>https://www.poettinger.at/de_at/newsroom/press</w:t>
              </w:r>
              <w:r>
                <w:rPr>
                  <w:rStyle w:val="Hyperlink"/>
                  <w:rFonts w:ascii="Arial" w:hAnsi="Arial"/>
                </w:rPr>
                <w:t>e</w:t>
              </w:r>
              <w:r>
                <w:rPr>
                  <w:rStyle w:val="Hyperlink"/>
                  <w:rFonts w:ascii="Arial" w:hAnsi="Arial"/>
                </w:rPr>
                <w:t>bild/105275</w:t>
              </w:r>
            </w:hyperlink>
          </w:p>
          <w:p w14:paraId="082215A2" w14:textId="759C5BE2" w:rsidR="00C30AC6" w:rsidRDefault="00C30AC6" w:rsidP="00C30AC6">
            <w:pPr>
              <w:spacing w:line="360" w:lineRule="auto"/>
              <w:jc w:val="center"/>
              <w:rPr>
                <w:rFonts w:ascii="Arial" w:hAnsi="Arial" w:cs="Arial"/>
                <w:b/>
                <w:bCs/>
                <w:sz w:val="24"/>
                <w:szCs w:val="24"/>
              </w:rPr>
            </w:pPr>
          </w:p>
        </w:tc>
        <w:tc>
          <w:tcPr>
            <w:tcW w:w="2805" w:type="dxa"/>
          </w:tcPr>
          <w:p w14:paraId="0F523234" w14:textId="77777777" w:rsidR="00C30AC6" w:rsidRPr="00052AF2" w:rsidRDefault="00C30AC6" w:rsidP="00C30AC6">
            <w:pPr>
              <w:jc w:val="center"/>
              <w:rPr>
                <w:rFonts w:ascii="Arial" w:hAnsi="Arial" w:cs="Arial"/>
              </w:rPr>
            </w:pPr>
            <w:hyperlink r:id="rId14" w:history="1">
              <w:r>
                <w:rPr>
                  <w:rStyle w:val="Hyperlink"/>
                  <w:rFonts w:ascii="Arial" w:hAnsi="Arial"/>
                </w:rPr>
                <w:t>https://www.poettinger.at/de_at/newsroom/pre</w:t>
              </w:r>
              <w:r>
                <w:rPr>
                  <w:rStyle w:val="Hyperlink"/>
                  <w:rFonts w:ascii="Arial" w:hAnsi="Arial"/>
                </w:rPr>
                <w:t>s</w:t>
              </w:r>
              <w:r>
                <w:rPr>
                  <w:rStyle w:val="Hyperlink"/>
                  <w:rFonts w:ascii="Arial" w:hAnsi="Arial"/>
                </w:rPr>
                <w:t>sebild/105274</w:t>
              </w:r>
            </w:hyperlink>
          </w:p>
          <w:p w14:paraId="1EA493FD" w14:textId="77777777" w:rsidR="00C30AC6" w:rsidRDefault="00C30AC6" w:rsidP="00C30AC6">
            <w:pPr>
              <w:spacing w:line="360" w:lineRule="auto"/>
              <w:jc w:val="center"/>
              <w:rPr>
                <w:rFonts w:ascii="Arial" w:hAnsi="Arial" w:cs="Arial"/>
                <w:b/>
                <w:bCs/>
                <w:sz w:val="24"/>
                <w:szCs w:val="24"/>
              </w:rPr>
            </w:pPr>
          </w:p>
        </w:tc>
        <w:tc>
          <w:tcPr>
            <w:tcW w:w="1837" w:type="dxa"/>
          </w:tcPr>
          <w:p w14:paraId="1E0D4A25" w14:textId="77777777" w:rsidR="00C30AC6" w:rsidRPr="0012618C" w:rsidRDefault="00C30AC6" w:rsidP="00C30AC6">
            <w:pPr>
              <w:widowControl w:val="0"/>
              <w:autoSpaceDE w:val="0"/>
              <w:autoSpaceDN w:val="0"/>
              <w:adjustRightInd w:val="0"/>
              <w:jc w:val="center"/>
              <w:rPr>
                <w:rFonts w:ascii="Arial" w:hAnsi="Arial" w:cs="Arial"/>
                <w:snapToGrid w:val="0"/>
                <w:color w:val="000000"/>
              </w:rPr>
            </w:pPr>
            <w:hyperlink r:id="rId15" w:history="1">
              <w:r>
                <w:rPr>
                  <w:rStyle w:val="Hyperlink"/>
                  <w:rFonts w:ascii="Arial" w:hAnsi="Arial"/>
                  <w:snapToGrid w:val="0"/>
                </w:rPr>
                <w:t>https://www.poettinger.at/de_at/newsroo</w:t>
              </w:r>
              <w:r>
                <w:rPr>
                  <w:rStyle w:val="Hyperlink"/>
                  <w:rFonts w:ascii="Arial" w:hAnsi="Arial"/>
                  <w:snapToGrid w:val="0"/>
                </w:rPr>
                <w:t>m</w:t>
              </w:r>
              <w:r>
                <w:rPr>
                  <w:rStyle w:val="Hyperlink"/>
                  <w:rFonts w:ascii="Arial" w:hAnsi="Arial"/>
                  <w:snapToGrid w:val="0"/>
                </w:rPr>
                <w:t>/pressebild/15341</w:t>
              </w:r>
            </w:hyperlink>
          </w:p>
          <w:p w14:paraId="2ACE03DD" w14:textId="77777777" w:rsidR="00C30AC6" w:rsidRDefault="00C30AC6" w:rsidP="00C30AC6">
            <w:pPr>
              <w:spacing w:line="360" w:lineRule="auto"/>
              <w:jc w:val="center"/>
              <w:rPr>
                <w:rFonts w:ascii="Arial" w:hAnsi="Arial" w:cs="Arial"/>
                <w:b/>
                <w:bCs/>
                <w:sz w:val="24"/>
                <w:szCs w:val="24"/>
              </w:rPr>
            </w:pPr>
          </w:p>
        </w:tc>
      </w:tr>
    </w:tbl>
    <w:p w14:paraId="777E489B" w14:textId="1C2FFC0E" w:rsidR="00C30AC6" w:rsidRDefault="00C30AC6" w:rsidP="007F40D7">
      <w:pPr>
        <w:spacing w:line="360" w:lineRule="auto"/>
        <w:jc w:val="both"/>
        <w:rPr>
          <w:rFonts w:ascii="Arial" w:hAnsi="Arial" w:cs="Arial"/>
          <w:b/>
          <w:bCs/>
          <w:sz w:val="24"/>
          <w:szCs w:val="24"/>
        </w:rPr>
      </w:pPr>
    </w:p>
    <w:p w14:paraId="1CC83ED2" w14:textId="77777777" w:rsidR="0040571D" w:rsidRPr="003F1E7D" w:rsidRDefault="0040571D" w:rsidP="0040571D">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More printer-optimised photos:</w:t>
      </w:r>
      <w:r>
        <w:t xml:space="preserve"> </w:t>
      </w:r>
      <w:hyperlink r:id="rId16" w:history="1">
        <w:r>
          <w:rPr>
            <w:rStyle w:val="Hyperlink"/>
            <w:rFonts w:ascii="Arial" w:hAnsi="Arial"/>
            <w:snapToGrid w:val="0"/>
          </w:rPr>
          <w:t>http://www.poettinger.at/presse</w:t>
        </w:r>
      </w:hyperlink>
    </w:p>
    <w:p w14:paraId="73835B18" w14:textId="18BE9235" w:rsidR="00CA7969" w:rsidRDefault="00CA7969" w:rsidP="003F1E7D">
      <w:pPr>
        <w:widowControl w:val="0"/>
        <w:autoSpaceDE w:val="0"/>
        <w:autoSpaceDN w:val="0"/>
        <w:adjustRightInd w:val="0"/>
        <w:spacing w:line="360" w:lineRule="auto"/>
        <w:jc w:val="both"/>
        <w:rPr>
          <w:rFonts w:ascii="Arial" w:hAnsi="Arial" w:cs="Arial"/>
          <w:snapToGrid w:val="0"/>
          <w:color w:val="000000"/>
          <w:lang w:eastAsia="de-DE"/>
        </w:rPr>
      </w:pPr>
    </w:p>
    <w:p w14:paraId="6B2E8FC5" w14:textId="77777777" w:rsidR="00CA7969" w:rsidRPr="00F25B6C" w:rsidRDefault="00CA7969" w:rsidP="003F1E7D">
      <w:pPr>
        <w:widowControl w:val="0"/>
        <w:autoSpaceDE w:val="0"/>
        <w:autoSpaceDN w:val="0"/>
        <w:adjustRightInd w:val="0"/>
        <w:spacing w:line="360" w:lineRule="auto"/>
        <w:jc w:val="both"/>
        <w:rPr>
          <w:rFonts w:ascii="Arial" w:hAnsi="Arial" w:cs="Arial"/>
          <w:snapToGrid w:val="0"/>
          <w:color w:val="000000"/>
          <w:lang w:eastAsia="de-DE"/>
        </w:rPr>
      </w:pPr>
    </w:p>
    <w:sectPr w:rsidR="00CA7969" w:rsidRPr="00F25B6C">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0D90A" w14:textId="77777777" w:rsidR="00196F6B" w:rsidRDefault="00196F6B" w:rsidP="004311A1">
      <w:pPr>
        <w:spacing w:after="0" w:line="240" w:lineRule="auto"/>
      </w:pPr>
      <w:r>
        <w:separator/>
      </w:r>
    </w:p>
  </w:endnote>
  <w:endnote w:type="continuationSeparator" w:id="0">
    <w:p w14:paraId="3F7DEAEC" w14:textId="77777777" w:rsidR="00196F6B" w:rsidRDefault="00196F6B" w:rsidP="004311A1">
      <w:pPr>
        <w:spacing w:after="0" w:line="240" w:lineRule="auto"/>
      </w:pPr>
      <w:r>
        <w:continuationSeparator/>
      </w:r>
    </w:p>
  </w:endnote>
  <w:endnote w:type="continuationNotice" w:id="1">
    <w:p w14:paraId="09CB89F0" w14:textId="77777777" w:rsidR="00196F6B" w:rsidRDefault="00196F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HelveticaNeueLTW1G-Roman">
    <w:altName w:val="Arial"/>
    <w:panose1 w:val="00000000000000000000"/>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44B4" w14:textId="77777777" w:rsidR="004311A1" w:rsidRDefault="004311A1" w:rsidP="004311A1">
    <w:pPr>
      <w:spacing w:after="0" w:line="240" w:lineRule="auto"/>
      <w:rPr>
        <w:rFonts w:ascii="Arial" w:hAnsi="Arial" w:cs="Arial"/>
        <w:b/>
        <w:sz w:val="20"/>
        <w:szCs w:val="20"/>
      </w:rPr>
    </w:pPr>
  </w:p>
  <w:p w14:paraId="5774B78C" w14:textId="4F3C842B" w:rsidR="004311A1" w:rsidRPr="00AB6A8D" w:rsidRDefault="004311A1" w:rsidP="004311A1">
    <w:pPr>
      <w:spacing w:after="0" w:line="240" w:lineRule="auto"/>
      <w:rPr>
        <w:rFonts w:ascii="Arial" w:hAnsi="Arial" w:cs="Arial"/>
        <w:b/>
        <w:sz w:val="20"/>
        <w:szCs w:val="20"/>
        <w:lang w:val="de-DE"/>
      </w:rPr>
    </w:pPr>
    <w:r w:rsidRPr="00AB6A8D">
      <w:rPr>
        <w:rFonts w:ascii="Arial" w:hAnsi="Arial"/>
        <w:b/>
        <w:sz w:val="20"/>
        <w:lang w:val="de-DE"/>
      </w:rPr>
      <w:t xml:space="preserve">PÖTTINGER Landtechnik GmbH - </w:t>
    </w:r>
    <w:r w:rsidRPr="00AB6A8D">
      <w:rPr>
        <w:rFonts w:ascii="Arial" w:hAnsi="Arial"/>
        <w:sz w:val="20"/>
        <w:lang w:val="de-DE"/>
      </w:rPr>
      <w:t>Corporate communication</w:t>
    </w:r>
  </w:p>
  <w:p w14:paraId="33B2577E" w14:textId="77777777" w:rsidR="004311A1" w:rsidRPr="00AB6A8D" w:rsidRDefault="004311A1" w:rsidP="004311A1">
    <w:pPr>
      <w:spacing w:after="0" w:line="240" w:lineRule="auto"/>
      <w:rPr>
        <w:rFonts w:ascii="Arial" w:hAnsi="Arial" w:cs="Arial"/>
        <w:sz w:val="20"/>
        <w:szCs w:val="20"/>
        <w:lang w:val="de-DE"/>
      </w:rPr>
    </w:pPr>
    <w:r w:rsidRPr="00AB6A8D">
      <w:rPr>
        <w:rFonts w:ascii="Arial" w:hAnsi="Arial"/>
        <w:sz w:val="20"/>
        <w:lang w:val="de-DE"/>
      </w:rPr>
      <w:t>Inge Steibl, Industriegelände 1, AT-4710 Grieskirchen</w:t>
    </w:r>
  </w:p>
  <w:p w14:paraId="21B2AF5C" w14:textId="5BD34A3F" w:rsidR="004311A1" w:rsidRDefault="004311A1" w:rsidP="004311A1">
    <w:pPr>
      <w:pStyle w:val="Fuzeile"/>
    </w:pPr>
    <w:r>
      <w:rPr>
        <w:rFonts w:ascii="Arial" w:hAnsi="Arial"/>
        <w:sz w:val="20"/>
      </w:rPr>
      <w:t xml:space="preserve">Phone: +43 7248 600-2415, Email: </w:t>
    </w:r>
    <w:hyperlink r:id="rId1" w:history="1">
      <w:r>
        <w:rPr>
          <w:rFonts w:ascii="Arial" w:hAnsi="Arial"/>
          <w:sz w:val="20"/>
        </w:rPr>
        <w:t>inge.steibl@poettinger.at</w:t>
      </w:r>
    </w:hyperlink>
    <w:r>
      <w:rPr>
        <w:rFonts w:ascii="Arial" w:hAnsi="Arial"/>
        <w:sz w:val="20"/>
      </w:rPr>
      <w:t xml:space="preserve">, </w:t>
    </w:r>
    <w:hyperlink r:id="rId2" w:history="1">
      <w:r>
        <w:rPr>
          <w:rFonts w:ascii="Arial" w:hAnsi="Arial"/>
          <w:sz w:val="20"/>
        </w:rPr>
        <w:t>www.poettinger.at</w:t>
      </w:r>
    </w:hyperlink>
    <w:r>
      <w:rPr>
        <w:rFonts w:ascii="Arial" w:hAnsi="Arial"/>
        <w:sz w:val="20"/>
      </w:rPr>
      <w:tab/>
    </w:r>
    <w:r>
      <w:rPr>
        <w:rFonts w:ascii="Arial" w:hAnsi="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EEF36" w14:textId="77777777" w:rsidR="00196F6B" w:rsidRDefault="00196F6B" w:rsidP="004311A1">
      <w:pPr>
        <w:spacing w:after="0" w:line="240" w:lineRule="auto"/>
      </w:pPr>
      <w:r>
        <w:separator/>
      </w:r>
    </w:p>
  </w:footnote>
  <w:footnote w:type="continuationSeparator" w:id="0">
    <w:p w14:paraId="1059A3E8" w14:textId="77777777" w:rsidR="00196F6B" w:rsidRDefault="00196F6B" w:rsidP="004311A1">
      <w:pPr>
        <w:spacing w:after="0" w:line="240" w:lineRule="auto"/>
      </w:pPr>
      <w:r>
        <w:continuationSeparator/>
      </w:r>
    </w:p>
  </w:footnote>
  <w:footnote w:type="continuationNotice" w:id="1">
    <w:p w14:paraId="27FDD7D3" w14:textId="77777777" w:rsidR="00196F6B" w:rsidRDefault="00196F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F1CF" w14:textId="61D2BBC0" w:rsidR="001F6352" w:rsidRDefault="000C4E9F">
    <w:pPr>
      <w:pStyle w:val="Kopfzeile"/>
    </w:pPr>
    <w:r>
      <w:rPr>
        <w:rFonts w:ascii="Arial" w:hAnsi="Arial"/>
        <w:b/>
        <w:noProof/>
        <w:sz w:val="24"/>
      </w:rPr>
      <w:drawing>
        <wp:anchor distT="0" distB="0" distL="114300" distR="114300" simplePos="0" relativeHeight="251658240" behindDoc="0" locked="0" layoutInCell="1" allowOverlap="1" wp14:anchorId="554DBB8B" wp14:editId="14EAC9B5">
          <wp:simplePos x="0" y="0"/>
          <wp:positionH relativeFrom="column">
            <wp:posOffset>3462655</wp:posOffset>
          </wp:positionH>
          <wp:positionV relativeFrom="paragraph">
            <wp:posOffset>111760</wp:posOffset>
          </wp:positionV>
          <wp:extent cx="2186305" cy="228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18A60311" w14:textId="1122097D" w:rsidR="001F6352" w:rsidRDefault="001F6352">
    <w:pPr>
      <w:pStyle w:val="Kopfzeile"/>
      <w:rPr>
        <w:rFonts w:ascii="Arial" w:hAnsi="Arial" w:cs="Arial"/>
        <w:b/>
        <w:bCs/>
        <w:sz w:val="24"/>
        <w:szCs w:val="24"/>
      </w:rPr>
    </w:pPr>
    <w:r>
      <w:rPr>
        <w:rFonts w:ascii="Arial" w:hAnsi="Arial"/>
        <w:b/>
        <w:sz w:val="24"/>
      </w:rPr>
      <w:t>Press release</w:t>
    </w:r>
  </w:p>
  <w:p w14:paraId="10D94F97" w14:textId="77777777" w:rsidR="001F6352" w:rsidRDefault="001F6352">
    <w:pPr>
      <w:pStyle w:val="Kopfzeile"/>
      <w:rPr>
        <w:rFonts w:ascii="Arial" w:hAnsi="Arial" w:cs="Arial"/>
        <w:b/>
        <w:bCs/>
        <w:sz w:val="24"/>
        <w:szCs w:val="24"/>
      </w:rPr>
    </w:pPr>
  </w:p>
  <w:p w14:paraId="3408B22E" w14:textId="77777777" w:rsidR="001F6352" w:rsidRPr="001F6352" w:rsidRDefault="001F6352">
    <w:pPr>
      <w:pStyle w:val="Kopfzeile"/>
      <w:rPr>
        <w:rFonts w:ascii="Arial" w:hAnsi="Arial" w:cs="Arial"/>
        <w:b/>
        <w:bCs/>
        <w:sz w:val="24"/>
        <w:szCs w:val="24"/>
      </w:rPr>
    </w:pPr>
  </w:p>
</w:hdr>
</file>

<file path=word/intelligence2.xml><?xml version="1.0" encoding="utf-8"?>
<int2:intelligence xmlns:int2="http://schemas.microsoft.com/office/intelligence/2020/intelligence" xmlns:oel="http://schemas.microsoft.com/office/2019/extlst">
  <int2:observations>
    <int2:textHash int2:hashCode="9VRncFK8BArNP9" int2:id="SF0YVtZ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08C"/>
    <w:multiLevelType w:val="hybridMultilevel"/>
    <w:tmpl w:val="A05A4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F67C17"/>
    <w:multiLevelType w:val="multilevel"/>
    <w:tmpl w:val="8BD056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E6339A"/>
    <w:multiLevelType w:val="multilevel"/>
    <w:tmpl w:val="9E94FC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D57F13"/>
    <w:multiLevelType w:val="hybridMultilevel"/>
    <w:tmpl w:val="8B748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8769851">
    <w:abstractNumId w:val="2"/>
  </w:num>
  <w:num w:numId="2" w16cid:durableId="1050886229">
    <w:abstractNumId w:val="0"/>
  </w:num>
  <w:num w:numId="3" w16cid:durableId="1809736544">
    <w:abstractNumId w:val="4"/>
  </w:num>
  <w:num w:numId="4" w16cid:durableId="299111516">
    <w:abstractNumId w:val="3"/>
  </w:num>
  <w:num w:numId="5" w16cid:durableId="571162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4678F"/>
    <w:rsid w:val="00051C90"/>
    <w:rsid w:val="00052AF2"/>
    <w:rsid w:val="000635D3"/>
    <w:rsid w:val="000643B7"/>
    <w:rsid w:val="00093872"/>
    <w:rsid w:val="000938A3"/>
    <w:rsid w:val="000C4E9F"/>
    <w:rsid w:val="000C760A"/>
    <w:rsid w:val="000C7C4C"/>
    <w:rsid w:val="000D0C65"/>
    <w:rsid w:val="000E5D13"/>
    <w:rsid w:val="000F3CBE"/>
    <w:rsid w:val="0011312A"/>
    <w:rsid w:val="0012618C"/>
    <w:rsid w:val="0015146E"/>
    <w:rsid w:val="00153B90"/>
    <w:rsid w:val="00162C83"/>
    <w:rsid w:val="0019170F"/>
    <w:rsid w:val="00196F6B"/>
    <w:rsid w:val="001A3222"/>
    <w:rsid w:val="001E56D5"/>
    <w:rsid w:val="001F02A9"/>
    <w:rsid w:val="001F10FA"/>
    <w:rsid w:val="001F6352"/>
    <w:rsid w:val="002026E8"/>
    <w:rsid w:val="0021220A"/>
    <w:rsid w:val="00234361"/>
    <w:rsid w:val="00244777"/>
    <w:rsid w:val="00275935"/>
    <w:rsid w:val="00277664"/>
    <w:rsid w:val="00293041"/>
    <w:rsid w:val="002D6C7B"/>
    <w:rsid w:val="002E1084"/>
    <w:rsid w:val="002E53C3"/>
    <w:rsid w:val="002F2BCF"/>
    <w:rsid w:val="002F689C"/>
    <w:rsid w:val="00345B86"/>
    <w:rsid w:val="00347F99"/>
    <w:rsid w:val="003534FC"/>
    <w:rsid w:val="0036361B"/>
    <w:rsid w:val="00386341"/>
    <w:rsid w:val="003B481F"/>
    <w:rsid w:val="003D000A"/>
    <w:rsid w:val="003D2773"/>
    <w:rsid w:val="003F1E7D"/>
    <w:rsid w:val="004026CA"/>
    <w:rsid w:val="0040571D"/>
    <w:rsid w:val="00410B87"/>
    <w:rsid w:val="004311A1"/>
    <w:rsid w:val="00432C24"/>
    <w:rsid w:val="004355F1"/>
    <w:rsid w:val="00452BEC"/>
    <w:rsid w:val="00452E97"/>
    <w:rsid w:val="00454D8C"/>
    <w:rsid w:val="0045686B"/>
    <w:rsid w:val="00470447"/>
    <w:rsid w:val="00471D6A"/>
    <w:rsid w:val="004866AE"/>
    <w:rsid w:val="004929D1"/>
    <w:rsid w:val="00496ED0"/>
    <w:rsid w:val="004A6F02"/>
    <w:rsid w:val="004D11B8"/>
    <w:rsid w:val="00502A12"/>
    <w:rsid w:val="0052173B"/>
    <w:rsid w:val="0052408A"/>
    <w:rsid w:val="005304E2"/>
    <w:rsid w:val="00533AB7"/>
    <w:rsid w:val="0054007C"/>
    <w:rsid w:val="00542BD9"/>
    <w:rsid w:val="00554CCF"/>
    <w:rsid w:val="005847FD"/>
    <w:rsid w:val="005C0DD9"/>
    <w:rsid w:val="005D2ACE"/>
    <w:rsid w:val="005F3B3C"/>
    <w:rsid w:val="005F6FB7"/>
    <w:rsid w:val="0060156A"/>
    <w:rsid w:val="0060543B"/>
    <w:rsid w:val="00611E6B"/>
    <w:rsid w:val="00622EEF"/>
    <w:rsid w:val="006341A6"/>
    <w:rsid w:val="006408B1"/>
    <w:rsid w:val="00663AA6"/>
    <w:rsid w:val="00663FF7"/>
    <w:rsid w:val="00666D5A"/>
    <w:rsid w:val="00671D92"/>
    <w:rsid w:val="00683216"/>
    <w:rsid w:val="00683859"/>
    <w:rsid w:val="006B038D"/>
    <w:rsid w:val="006D23D6"/>
    <w:rsid w:val="007269F6"/>
    <w:rsid w:val="007575BD"/>
    <w:rsid w:val="00763A25"/>
    <w:rsid w:val="00766AE3"/>
    <w:rsid w:val="00771288"/>
    <w:rsid w:val="00771BE0"/>
    <w:rsid w:val="00780B92"/>
    <w:rsid w:val="007932DF"/>
    <w:rsid w:val="00794C66"/>
    <w:rsid w:val="007E132E"/>
    <w:rsid w:val="007F40D7"/>
    <w:rsid w:val="00832BA5"/>
    <w:rsid w:val="008401DF"/>
    <w:rsid w:val="0086132C"/>
    <w:rsid w:val="00874824"/>
    <w:rsid w:val="00891214"/>
    <w:rsid w:val="008C7810"/>
    <w:rsid w:val="008D31CB"/>
    <w:rsid w:val="00904788"/>
    <w:rsid w:val="009168FD"/>
    <w:rsid w:val="00916BE8"/>
    <w:rsid w:val="00930673"/>
    <w:rsid w:val="00955FC8"/>
    <w:rsid w:val="009624BC"/>
    <w:rsid w:val="00982A16"/>
    <w:rsid w:val="00984FE0"/>
    <w:rsid w:val="009A1CB6"/>
    <w:rsid w:val="009C2C02"/>
    <w:rsid w:val="009D6D53"/>
    <w:rsid w:val="009E0599"/>
    <w:rsid w:val="009E0E3F"/>
    <w:rsid w:val="009F5312"/>
    <w:rsid w:val="00A46B16"/>
    <w:rsid w:val="00A90BE0"/>
    <w:rsid w:val="00AA51CF"/>
    <w:rsid w:val="00AB5426"/>
    <w:rsid w:val="00AB6A8D"/>
    <w:rsid w:val="00AC60E9"/>
    <w:rsid w:val="00AE3347"/>
    <w:rsid w:val="00AF212C"/>
    <w:rsid w:val="00B0119B"/>
    <w:rsid w:val="00B44BDB"/>
    <w:rsid w:val="00B534C5"/>
    <w:rsid w:val="00B86598"/>
    <w:rsid w:val="00BA1440"/>
    <w:rsid w:val="00BA58AA"/>
    <w:rsid w:val="00BB14A2"/>
    <w:rsid w:val="00BB6AF4"/>
    <w:rsid w:val="00BC6E38"/>
    <w:rsid w:val="00BD470F"/>
    <w:rsid w:val="00BE2D0B"/>
    <w:rsid w:val="00BE71B9"/>
    <w:rsid w:val="00C046A4"/>
    <w:rsid w:val="00C075A9"/>
    <w:rsid w:val="00C30AC6"/>
    <w:rsid w:val="00C32699"/>
    <w:rsid w:val="00C54DCD"/>
    <w:rsid w:val="00C642AF"/>
    <w:rsid w:val="00C64941"/>
    <w:rsid w:val="00C82AC1"/>
    <w:rsid w:val="00C85CBE"/>
    <w:rsid w:val="00C9208A"/>
    <w:rsid w:val="00CA7969"/>
    <w:rsid w:val="00CD5275"/>
    <w:rsid w:val="00CD5FBD"/>
    <w:rsid w:val="00CF3337"/>
    <w:rsid w:val="00CF3A8F"/>
    <w:rsid w:val="00CF5EFC"/>
    <w:rsid w:val="00D01F08"/>
    <w:rsid w:val="00D140AC"/>
    <w:rsid w:val="00D14975"/>
    <w:rsid w:val="00D16B9C"/>
    <w:rsid w:val="00D37433"/>
    <w:rsid w:val="00D42C0E"/>
    <w:rsid w:val="00D85EBD"/>
    <w:rsid w:val="00D85F90"/>
    <w:rsid w:val="00D9002B"/>
    <w:rsid w:val="00D9117D"/>
    <w:rsid w:val="00DA2A2D"/>
    <w:rsid w:val="00DD7DFB"/>
    <w:rsid w:val="00DE1DD2"/>
    <w:rsid w:val="00E02E93"/>
    <w:rsid w:val="00E158E4"/>
    <w:rsid w:val="00E36FDD"/>
    <w:rsid w:val="00E42F5D"/>
    <w:rsid w:val="00E47134"/>
    <w:rsid w:val="00E71F57"/>
    <w:rsid w:val="00EA4998"/>
    <w:rsid w:val="00EB4EC2"/>
    <w:rsid w:val="00ED65DA"/>
    <w:rsid w:val="00EF7029"/>
    <w:rsid w:val="00F01B39"/>
    <w:rsid w:val="00F07839"/>
    <w:rsid w:val="00F132D0"/>
    <w:rsid w:val="00F1687B"/>
    <w:rsid w:val="00F25B6C"/>
    <w:rsid w:val="00F37FD7"/>
    <w:rsid w:val="00F417CC"/>
    <w:rsid w:val="00F4295B"/>
    <w:rsid w:val="00F51CF3"/>
    <w:rsid w:val="00F6776D"/>
    <w:rsid w:val="00F75C9B"/>
    <w:rsid w:val="00F94121"/>
    <w:rsid w:val="00F9623F"/>
    <w:rsid w:val="00FA5DE0"/>
    <w:rsid w:val="00FB2306"/>
    <w:rsid w:val="00FB3FA4"/>
    <w:rsid w:val="00FC4173"/>
    <w:rsid w:val="00FE3C58"/>
    <w:rsid w:val="00FF61F3"/>
    <w:rsid w:val="07AB15FB"/>
    <w:rsid w:val="0A120858"/>
    <w:rsid w:val="0C0575DD"/>
    <w:rsid w:val="0CC5A701"/>
    <w:rsid w:val="0D290B5A"/>
    <w:rsid w:val="0D83392F"/>
    <w:rsid w:val="0FF41C22"/>
    <w:rsid w:val="11EA64DC"/>
    <w:rsid w:val="12EA595D"/>
    <w:rsid w:val="16168802"/>
    <w:rsid w:val="1C79B8F3"/>
    <w:rsid w:val="1EECF224"/>
    <w:rsid w:val="1F777E87"/>
    <w:rsid w:val="2059B1DE"/>
    <w:rsid w:val="221D348E"/>
    <w:rsid w:val="246F1B5C"/>
    <w:rsid w:val="2A70DD14"/>
    <w:rsid w:val="2D4BE170"/>
    <w:rsid w:val="31A3EEB1"/>
    <w:rsid w:val="322DCD7A"/>
    <w:rsid w:val="364CF208"/>
    <w:rsid w:val="398492CA"/>
    <w:rsid w:val="3BDE8890"/>
    <w:rsid w:val="3BFC5E87"/>
    <w:rsid w:val="3CAC597B"/>
    <w:rsid w:val="3CADAA09"/>
    <w:rsid w:val="3CEAA42F"/>
    <w:rsid w:val="3E557437"/>
    <w:rsid w:val="3EDFAD84"/>
    <w:rsid w:val="3FDAABF1"/>
    <w:rsid w:val="3FE3FA3D"/>
    <w:rsid w:val="4048E1BC"/>
    <w:rsid w:val="42ADD56E"/>
    <w:rsid w:val="451AFF6B"/>
    <w:rsid w:val="4568E433"/>
    <w:rsid w:val="45E57630"/>
    <w:rsid w:val="47B6AD2F"/>
    <w:rsid w:val="4853F3A1"/>
    <w:rsid w:val="4A7CF0EC"/>
    <w:rsid w:val="4AEE4DF1"/>
    <w:rsid w:val="508E0AA8"/>
    <w:rsid w:val="5369A8C6"/>
    <w:rsid w:val="5660F372"/>
    <w:rsid w:val="56D63490"/>
    <w:rsid w:val="56E4AC57"/>
    <w:rsid w:val="5A7B9AE3"/>
    <w:rsid w:val="5B3B6FE8"/>
    <w:rsid w:val="5DF2F2D8"/>
    <w:rsid w:val="5EB8756A"/>
    <w:rsid w:val="600C5155"/>
    <w:rsid w:val="617BA0C5"/>
    <w:rsid w:val="6492795C"/>
    <w:rsid w:val="67A5B1E7"/>
    <w:rsid w:val="69642A78"/>
    <w:rsid w:val="6A37F052"/>
    <w:rsid w:val="6BA6A120"/>
    <w:rsid w:val="6C2939EB"/>
    <w:rsid w:val="6C2C2E48"/>
    <w:rsid w:val="6C357C94"/>
    <w:rsid w:val="6D037C0A"/>
    <w:rsid w:val="701A5494"/>
    <w:rsid w:val="706BB3A6"/>
    <w:rsid w:val="71CB2C29"/>
    <w:rsid w:val="74082F86"/>
    <w:rsid w:val="74F2074C"/>
    <w:rsid w:val="769135F3"/>
    <w:rsid w:val="773FD048"/>
    <w:rsid w:val="7957AB3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FD398"/>
  <w15:chartTrackingRefBased/>
  <w15:docId w15:val="{15530325-03BE-446E-88CB-261709A8A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2ACE"/>
    <w:pPr>
      <w:ind w:left="720"/>
      <w:contextualSpacing/>
    </w:pPr>
  </w:style>
  <w:style w:type="paragraph" w:customStyle="1" w:styleId="CP">
    <w:name w:val="CP"/>
    <w:basedOn w:val="Standard"/>
    <w:next w:val="Standard"/>
    <w:uiPriority w:val="99"/>
    <w:rsid w:val="0052173B"/>
    <w:pPr>
      <w:tabs>
        <w:tab w:val="left" w:pos="170"/>
        <w:tab w:val="right" w:pos="3969"/>
      </w:tabs>
      <w:suppressAutoHyphens/>
      <w:autoSpaceDE w:val="0"/>
      <w:autoSpaceDN w:val="0"/>
      <w:adjustRightInd w:val="0"/>
      <w:spacing w:after="0" w:line="230" w:lineRule="atLeast"/>
      <w:textAlignment w:val="center"/>
    </w:pPr>
    <w:rPr>
      <w:rFonts w:ascii="HelveticaNeueLTW1G-Lt" w:hAnsi="HelveticaNeueLTW1G-Lt" w:cs="HelveticaNeueLTW1G-Lt"/>
      <w:color w:val="000000"/>
      <w:spacing w:val="2"/>
      <w:sz w:val="18"/>
      <w:szCs w:val="18"/>
    </w:rPr>
  </w:style>
  <w:style w:type="paragraph" w:customStyle="1" w:styleId="BP">
    <w:name w:val="BP"/>
    <w:basedOn w:val="CP"/>
    <w:uiPriority w:val="99"/>
    <w:rsid w:val="0052173B"/>
    <w:pPr>
      <w:tabs>
        <w:tab w:val="clear" w:pos="170"/>
        <w:tab w:val="left" w:pos="283"/>
      </w:tabs>
      <w:ind w:left="283" w:hanging="283"/>
    </w:pPr>
  </w:style>
  <w:style w:type="paragraph" w:customStyle="1" w:styleId="H3">
    <w:name w:val="H3"/>
    <w:basedOn w:val="Standard"/>
    <w:uiPriority w:val="99"/>
    <w:rsid w:val="00780B92"/>
    <w:pPr>
      <w:autoSpaceDE w:val="0"/>
      <w:autoSpaceDN w:val="0"/>
      <w:adjustRightInd w:val="0"/>
      <w:spacing w:before="227" w:after="113" w:line="288" w:lineRule="auto"/>
      <w:textAlignment w:val="center"/>
    </w:pPr>
    <w:rPr>
      <w:rFonts w:ascii="HelveticaNeueLTW1G-Roman" w:hAnsi="HelveticaNeueLTW1G-Roman" w:cs="HelveticaNeueLTW1G-Roman"/>
      <w:color w:val="000000"/>
      <w:sz w:val="24"/>
      <w:szCs w:val="24"/>
    </w:rPr>
  </w:style>
  <w:style w:type="paragraph" w:styleId="Kopfzeile">
    <w:name w:val="header"/>
    <w:basedOn w:val="Standard"/>
    <w:link w:val="KopfzeileZchn"/>
    <w:uiPriority w:val="99"/>
    <w:unhideWhenUsed/>
    <w:rsid w:val="004311A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11A1"/>
  </w:style>
  <w:style w:type="paragraph" w:styleId="Fuzeile">
    <w:name w:val="footer"/>
    <w:basedOn w:val="Standard"/>
    <w:link w:val="FuzeileZchn"/>
    <w:uiPriority w:val="99"/>
    <w:unhideWhenUsed/>
    <w:rsid w:val="004311A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11A1"/>
  </w:style>
  <w:style w:type="paragraph" w:styleId="Kommentartext">
    <w:name w:val="annotation text"/>
    <w:basedOn w:val="Standard"/>
    <w:link w:val="KommentartextZchn"/>
    <w:uiPriority w:val="99"/>
    <w:semiHidden/>
    <w:unhideWhenUsed/>
    <w:rsid w:val="004311A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311A1"/>
    <w:rPr>
      <w:sz w:val="20"/>
      <w:szCs w:val="20"/>
    </w:rPr>
  </w:style>
  <w:style w:type="table" w:styleId="Tabellenraster">
    <w:name w:val="Table Grid"/>
    <w:basedOn w:val="NormaleTabelle"/>
    <w:uiPriority w:val="39"/>
    <w:rsid w:val="007F40D7"/>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766AE3"/>
    <w:rPr>
      <w:color w:val="0000FF"/>
      <w:u w:val="single"/>
    </w:rPr>
  </w:style>
  <w:style w:type="character" w:styleId="NichtaufgelsteErwhnung">
    <w:name w:val="Unresolved Mention"/>
    <w:basedOn w:val="Absatz-Standardschriftart"/>
    <w:uiPriority w:val="99"/>
    <w:semiHidden/>
    <w:unhideWhenUsed/>
    <w:rsid w:val="008D31CB"/>
    <w:rPr>
      <w:color w:val="605E5C"/>
      <w:shd w:val="clear" w:color="auto" w:fill="E1DFDD"/>
    </w:rPr>
  </w:style>
  <w:style w:type="paragraph" w:styleId="StandardWeb">
    <w:name w:val="Normal (Web)"/>
    <w:basedOn w:val="Standard"/>
    <w:uiPriority w:val="99"/>
    <w:semiHidden/>
    <w:unhideWhenUsed/>
    <w:rsid w:val="00F01B3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01B39"/>
    <w:rPr>
      <w:b/>
      <w:bCs/>
    </w:rPr>
  </w:style>
  <w:style w:type="character" w:styleId="Kommentarzeichen">
    <w:name w:val="annotation reference"/>
    <w:basedOn w:val="Absatz-Standardschriftart"/>
    <w:uiPriority w:val="99"/>
    <w:semiHidden/>
    <w:unhideWhenUsed/>
    <w:rPr>
      <w:sz w:val="16"/>
      <w:szCs w:val="16"/>
    </w:rPr>
  </w:style>
  <w:style w:type="character" w:styleId="BesuchterLink">
    <w:name w:val="FollowedHyperlink"/>
    <w:basedOn w:val="Absatz-Standardschriftart"/>
    <w:uiPriority w:val="99"/>
    <w:semiHidden/>
    <w:unhideWhenUsed/>
    <w:rsid w:val="002E10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76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de_at/newsroom/pressebild/105275"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oettinger.at/pres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poettinger.at/de_at/newsroom/pressebild/15341"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oettinger.at/de_at/newsroom/pressebild/105274"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80C21-E010-4D82-91C0-BE7068209749}">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customXml/itemProps2.xml><?xml version="1.0" encoding="utf-8"?>
<ds:datastoreItem xmlns:ds="http://schemas.openxmlformats.org/officeDocument/2006/customXml" ds:itemID="{467F45B3-58CA-41E1-8B02-F70B65605296}">
  <ds:schemaRefs>
    <ds:schemaRef ds:uri="http://schemas.microsoft.com/sharepoint/v3/contenttype/forms"/>
  </ds:schemaRefs>
</ds:datastoreItem>
</file>

<file path=customXml/itemProps3.xml><?xml version="1.0" encoding="utf-8"?>
<ds:datastoreItem xmlns:ds="http://schemas.openxmlformats.org/officeDocument/2006/customXml" ds:itemID="{31FB6D93-CF7D-4C21-97EC-975EAC4B2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2218</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FLEXCARE Profiline</dc:title>
  <dc:subject/>
  <dc:creator>Meike Nisius</dc:creator>
  <cp:keywords/>
  <dc:description/>
  <cp:lastModifiedBy>Steibl Inge</cp:lastModifiedBy>
  <cp:revision>9</cp:revision>
  <cp:lastPrinted>2023-08-09T07:42:00Z</cp:lastPrinted>
  <dcterms:created xsi:type="dcterms:W3CDTF">2024-02-26T06:53:00Z</dcterms:created>
  <dcterms:modified xsi:type="dcterms:W3CDTF">2024-02-26T07:00:00Z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